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E384" w14:textId="77777777" w:rsidR="0032155E" w:rsidRDefault="00000000">
      <w:pPr>
        <w:pStyle w:val="Title"/>
        <w:jc w:val="center"/>
      </w:pPr>
      <w:r>
        <w:t>Terms of Reference</w:t>
      </w:r>
    </w:p>
    <w:p w14:paraId="1747003F" w14:textId="77777777" w:rsidR="007E5FC0" w:rsidRPr="007E5FC0" w:rsidRDefault="007E5FC0" w:rsidP="007E5FC0"/>
    <w:p w14:paraId="300AE0AC" w14:textId="19E12D95" w:rsidR="0032155E" w:rsidRDefault="00000000">
      <w:pPr>
        <w:spacing w:after="240"/>
        <w:jc w:val="center"/>
        <w:rPr>
          <w:b/>
        </w:rPr>
      </w:pPr>
      <w:r>
        <w:rPr>
          <w:b/>
        </w:rPr>
        <w:t>Carbon and nitrogen analysis of soil and European bison faecal samples</w:t>
      </w:r>
      <w:r w:rsidR="007E5FC0">
        <w:rPr>
          <w:b/>
        </w:rPr>
        <w:t>.</w:t>
      </w:r>
    </w:p>
    <w:p w14:paraId="4DAAA372" w14:textId="77777777" w:rsidR="007E5FC0" w:rsidRDefault="007E5FC0">
      <w:pPr>
        <w:spacing w:after="240"/>
        <w:jc w:val="center"/>
      </w:pPr>
    </w:p>
    <w:p w14:paraId="2C59F649" w14:textId="77777777" w:rsidR="0032155E" w:rsidRDefault="00000000">
      <w:pPr>
        <w:pStyle w:val="Heading1"/>
      </w:pPr>
      <w:r>
        <w:t>1 Purpose and scope</w:t>
      </w:r>
    </w:p>
    <w:p w14:paraId="124A1328" w14:textId="77777777" w:rsidR="0032155E" w:rsidRDefault="00000000">
      <w:r>
        <w:t>Provide technical support for soil and European bison (</w:t>
      </w:r>
      <w:r>
        <w:rPr>
          <w:i/>
        </w:rPr>
        <w:t>Bison bonasus</w:t>
      </w:r>
      <w:r>
        <w:t>) faecal sampling in the Țarcu Mountains and determine carbon and nitrogen concentrations in the collected material. The consultancy comprises two components: sampling and sample-handling support, and laboratory analysis. The sole final deliverable shall be a technical report containing traceable, sample-specific C and N results and supporting methodological and quality-control documentation.</w:t>
      </w:r>
    </w:p>
    <w:p w14:paraId="3ECDA7B1" w14:textId="77777777" w:rsidR="0032155E" w:rsidRDefault="00000000">
      <w:r>
        <w:t>Core analytes: total carbon (TC) and total nitrogen (TN), expressed on a dry-mass basis. Indicative quantities are 150 bison faecal samples and 120 mineral-soil samples, comprising 270 primary samples. These quantities are provisional and may be adjusted according to quoted unit prices and the available budget. The work plan shall confirm sample matrices, analytical fractions, batch schedule and any separately commissioned determination of soil organic carbon.</w:t>
      </w:r>
    </w:p>
    <w:p w14:paraId="39486C17" w14:textId="77777777" w:rsidR="00E96231" w:rsidRDefault="00E96231"/>
    <w:p w14:paraId="72A71A0C" w14:textId="77777777" w:rsidR="0032155E" w:rsidRDefault="00000000">
      <w:pPr>
        <w:pStyle w:val="Heading1"/>
      </w:pPr>
      <w:r>
        <w:t>2 Project framework and contribution</w:t>
      </w:r>
    </w:p>
    <w:p w14:paraId="0F9F3C04" w14:textId="77777777" w:rsidR="0032155E" w:rsidRDefault="00000000">
      <w:r>
        <w:t>The consultancy forms part of LIFE with Bison (LIFE22-NAT-NL-LIFE with Bison; LIFE-2022-SAP-NAT; project 101114088). It contributes to WP3 “Increasing genetic diversity of the European bison population in the Țarcu mountains to secure its long-term viability”, specifically T3.6 “Carrying capacity study (sociological and ecological) to provide a scientifically robust basis for future management”. Soil and faecal elemental concentrations will provide inputs for evaluating soil stoichiometry and nutrient redistribution associated with bison, integrated with vegetation, habitat and population data in the ecological carrying-capacity assessment under O3.3.</w:t>
      </w:r>
    </w:p>
    <w:p w14:paraId="6ACE3074" w14:textId="77777777" w:rsidR="0032155E" w:rsidRDefault="00000000">
      <w:r>
        <w:t>The results will contribute to D7.2 “Report on Bison ecology” under WP7 “Monitoring and evaluation of the project’s activities and impacts”. Integration with bison-use information from T7.2 “Monitoring the bison’s movement, habitat use and home range” will support spatial interpretation of the biochemical measurements. Concentrations shall be distinguished from soil stocks or nutrient fluxes, which require additional measurements and an appropriate study design.</w:t>
      </w:r>
    </w:p>
    <w:p w14:paraId="5FB2E56A" w14:textId="77777777" w:rsidR="00E96231" w:rsidRDefault="00E96231"/>
    <w:p w14:paraId="5BFDB768" w14:textId="77777777" w:rsidR="0032155E" w:rsidRDefault="00000000">
      <w:pPr>
        <w:pStyle w:val="Heading1"/>
      </w:pPr>
      <w:r>
        <w:t>3 Activities</w:t>
      </w:r>
    </w:p>
    <w:p w14:paraId="2F7207EC" w14:textId="77777777" w:rsidR="0032155E" w:rsidRDefault="00000000">
      <w:pPr>
        <w:pStyle w:val="Heading2"/>
      </w:pPr>
      <w:r>
        <w:t>Part 1 Sampling and sample-handling support</w:t>
      </w:r>
    </w:p>
    <w:p w14:paraId="44A6ABDF" w14:textId="77777777" w:rsidR="0032155E" w:rsidRDefault="00000000">
      <w:r>
        <w:t>The initial sampling design for the approximately 170 km² study area and anticipated population of 250 bison shall comprise:</w:t>
      </w:r>
    </w:p>
    <w:p w14:paraId="491C5A42" w14:textId="77777777" w:rsidR="0032155E" w:rsidRDefault="00000000">
      <w:pPr>
        <w:pStyle w:val="ListBullet1"/>
      </w:pPr>
      <w:r>
        <w:t>Faeces: 75 fresh dung pats in each of two contrasting seasons, distributed across herds, locations and collection dates. Retain each pat separately; multiple aliquots from one pat do not constitute independent replicates. The 150 samples need not represent 150 distinct animals.</w:t>
      </w:r>
    </w:p>
    <w:p w14:paraId="5FBF846B" w14:textId="77777777" w:rsidR="0032155E" w:rsidRDefault="00000000">
      <w:pPr>
        <w:pStyle w:val="ListBullet1"/>
      </w:pPr>
      <w:r>
        <w:t xml:space="preserve">Soil: 60 permanent plots arranged in 30 matched pairs, contrasting high bison use with low or no use. Provisionally allocate ten pairs each to forest gaps, closed-canopy forest and grassland, subject to habitat mapping. Match pairs for soil type, elevation, slope and forestry </w:t>
      </w:r>
      <w:r>
        <w:lastRenderedPageBreak/>
        <w:t>history. Sample two mineral-soil depths, 0–10 and 10–30 cm, during one baseline campaign, yielding 120 samples.</w:t>
      </w:r>
    </w:p>
    <w:p w14:paraId="5147F308" w14:textId="77777777" w:rsidR="0032155E" w:rsidRDefault="00000000">
      <w:pPr>
        <w:pStyle w:val="ListBullet1"/>
      </w:pPr>
      <w:r>
        <w:t>Composite soil samples: combine five equal-volume cores within each plot and depth; keep plots and depths separate. The design yields 120 composite laboratory samples from 600 depth-specific core portions, with 60 plot-level sampling units. Forest-floor samples and subsequent repeat campaigns shall be quantified and costed separately.</w:t>
      </w:r>
    </w:p>
    <w:p w14:paraId="504364E7" w14:textId="77777777" w:rsidR="0032155E" w:rsidRDefault="00000000">
      <w:r>
        <w:t>Refine replication using pilot variance and a defined minimum detectable effect. These quantities constitute an initial sampling and costing framework rather than a demonstrated statistical-power threshold.</w:t>
      </w:r>
    </w:p>
    <w:p w14:paraId="4482DA71" w14:textId="77777777" w:rsidR="0032155E" w:rsidRDefault="00000000">
      <w:r>
        <w:t>Develop matrix-specific instructions before field collection and brief the project team on sampling, preservation and submission requirements. The instructions shall specify:</w:t>
      </w:r>
    </w:p>
    <w:p w14:paraId="6B0309CC" w14:textId="77777777" w:rsidR="0032155E" w:rsidRDefault="00000000">
      <w:pPr>
        <w:pStyle w:val="ListBullet1"/>
      </w:pPr>
      <w:r>
        <w:t>Sampling units, minimum sample mass, containers, labelling, replication and any compositing rules. Maintain independent biological replicates separately and document the constituents of composite samples.</w:t>
      </w:r>
    </w:p>
    <w:p w14:paraId="6E9BD4C3" w14:textId="77777777" w:rsidR="0032155E" w:rsidRDefault="00000000">
      <w:pPr>
        <w:pStyle w:val="ListBullet1"/>
      </w:pPr>
      <w:r>
        <w:t>Soil sampling depth or horizon, treatment of surface litter and roots, separation of organic and mineral layers, and the analytical fraction. Record plot, coordinates, date, depth interval and relevant habitat or treatment metadata.</w:t>
      </w:r>
    </w:p>
    <w:p w14:paraId="6B3E2E34" w14:textId="77777777" w:rsidR="0032155E" w:rsidRDefault="00000000">
      <w:pPr>
        <w:pStyle w:val="ListBullet1"/>
      </w:pPr>
      <w:r>
        <w:t>Faecal collection and subsampling procedures, freshness or weathering assessment, and prevention of external soil or vegetation contamination. Preserve constituent faecal material, including undigested plant fragments, during representative subsampling.</w:t>
      </w:r>
    </w:p>
    <w:p w14:paraId="4B7F7A59" w14:textId="77777777" w:rsidR="0032155E" w:rsidRDefault="00000000">
      <w:pPr>
        <w:pStyle w:val="ListBullet1"/>
      </w:pPr>
      <w:r>
        <w:t>Matrix-specific storage temperatures, holding times, transport conditions and sample tracking. Specify drying or freezing requirements and prevent addition of C- or N-containing preservatives unless analytically validated.</w:t>
      </w:r>
    </w:p>
    <w:p w14:paraId="7485931A" w14:textId="77777777" w:rsidR="0032155E" w:rsidRDefault="00000000">
      <w:r>
        <w:t>Provide a submission template and advise on analytical compatibility with the field design. Record departures from the protocol, and assess their implications for sample suitability and comparability. The project team shall undertake field collection; the laboratory shall confirm receipt, condition and acceptance of each sample.</w:t>
      </w:r>
    </w:p>
    <w:p w14:paraId="4369466E" w14:textId="77777777" w:rsidR="0032155E" w:rsidRDefault="00000000">
      <w:pPr>
        <w:pStyle w:val="Heading2"/>
      </w:pPr>
      <w:r>
        <w:t>Part 2 Laboratory analysis</w:t>
      </w:r>
    </w:p>
    <w:p w14:paraId="38BFB8B6" w14:textId="77777777" w:rsidR="0032155E" w:rsidRDefault="00000000">
      <w:r>
        <w:t>Determine TC and TN using validated high-temperature dry-combustion elemental analysis, with calibration and working ranges appropriate to soil and faecal matrices. For soils, reference ISO 10694 and ISO 13878, or validated equivalent methods, specifying the version applied. Demonstrate suitability of the selected procedure for faecal material rather than assuming transferability of a soil method.</w:t>
      </w:r>
    </w:p>
    <w:p w14:paraId="2E1DF449" w14:textId="77777777" w:rsidR="0032155E" w:rsidRDefault="00000000">
      <w:pPr>
        <w:pStyle w:val="ListBullet1"/>
      </w:pPr>
      <w:r>
        <w:t>Document drying, dry-mass correction, homogenisation, grinding, analytical aliquot mass and instrument settings. Define the soil fraction analysed, normally the fine-earth fraction below 2 mm for mineral soil; document excluded material and preparation of organic horizons. Retain sample identity throughout processing.</w:t>
      </w:r>
    </w:p>
    <w:p w14:paraId="4E316A03" w14:textId="77777777" w:rsidR="0032155E" w:rsidRDefault="00000000">
      <w:pPr>
        <w:pStyle w:val="ListBullet1"/>
      </w:pPr>
      <w:r>
        <w:t>Implement quality assurance through calibration checks, blanks, appropriate reference materials and analytical duplicates. Specify duplicate frequency, recovery and repeatability criteria, detection and quantification limits, and corrective actions. Distinguish analytical duplicates from field replicates.</w:t>
      </w:r>
    </w:p>
    <w:p w14:paraId="4B830F49" w14:textId="77777777" w:rsidR="00E96231" w:rsidRDefault="00E96231" w:rsidP="00E96231">
      <w:pPr>
        <w:pStyle w:val="ListBullet1"/>
        <w:numPr>
          <w:ilvl w:val="0"/>
          <w:numId w:val="0"/>
        </w:numPr>
        <w:ind w:left="240"/>
      </w:pPr>
    </w:p>
    <w:p w14:paraId="01E617A4" w14:textId="77777777" w:rsidR="0032155E" w:rsidRDefault="00000000">
      <w:pPr>
        <w:pStyle w:val="Heading1"/>
      </w:pPr>
      <w:r>
        <w:t>4 Deliverable and acceptance requirements</w:t>
      </w:r>
    </w:p>
    <w:p w14:paraId="7325A067" w14:textId="77777777" w:rsidR="0032155E" w:rsidRDefault="00000000">
      <w:r>
        <w:t>Submit one technical report in English, with an editable, machine-readable results annex in XLSX or CSV format. Provide one primary results record per submitted sample, retaining duplicate measurements in a linked quality-control table. Each record shall include:</w:t>
      </w:r>
    </w:p>
    <w:p w14:paraId="0587879C" w14:textId="77777777" w:rsidR="0032155E" w:rsidRDefault="00000000">
      <w:pPr>
        <w:pStyle w:val="ListBullet1"/>
      </w:pPr>
      <w:r>
        <w:t>Unique field and laboratory identifiers; matrix; available collection metadata, including soil depth or horizon; analysis date; and preparation or analytical-fraction information.</w:t>
      </w:r>
    </w:p>
    <w:p w14:paraId="3B6A1D33" w14:textId="77777777" w:rsidR="0032155E" w:rsidRDefault="00000000">
      <w:pPr>
        <w:pStyle w:val="ListBullet1"/>
      </w:pPr>
      <w:r>
        <w:lastRenderedPageBreak/>
        <w:t>TC and TN concentrations in g/kg dry material, with the dry-mass normalisation procedure specified. Include the derived TC:TN mass ratio where both analytes are quantifiable, explicitly identifying it as a mass ratio.</w:t>
      </w:r>
    </w:p>
    <w:p w14:paraId="70EF09D6" w14:textId="77777777" w:rsidR="0032155E" w:rsidRDefault="00000000">
      <w:pPr>
        <w:pStyle w:val="ListBullet1"/>
      </w:pPr>
      <w:r>
        <w:t>Applicable quantification limits, uncertainty or precision information and quality flags. Report values below quantification limits as censored results, rather than zero, and label missing results with an explanation.</w:t>
      </w:r>
    </w:p>
    <w:p w14:paraId="1D594E8E" w14:textId="77777777" w:rsidR="0032155E" w:rsidRDefault="00000000">
      <w:r>
        <w:t>The report shall document methods, instruments, sample preparation, reference-material performance, duplicate precision and protocol deviations. Acceptance requires complete reconciliation of submitted samples with reported results or justified exclusions, consistent units and analytical fractions, and satisfactory quality-control performance. Results shall be attributable to individual samples; pooled summaries shall not replace sample-specific measurements.</w:t>
      </w:r>
    </w:p>
    <w:p w14:paraId="394731FD" w14:textId="77777777" w:rsidR="00E96231" w:rsidRDefault="00E96231"/>
    <w:p w14:paraId="62142A4D" w14:textId="40870666" w:rsidR="00E3189A" w:rsidRDefault="007479B3"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5</w:t>
      </w:r>
      <w:r w:rsidR="00523FA4">
        <w:rPr>
          <w:rFonts w:eastAsia="Times New Roman" w:cs="Times New Roman"/>
          <w:b/>
          <w:szCs w:val="22"/>
        </w:rPr>
        <w:t>.</w:t>
      </w:r>
      <w:r w:rsidR="00E3189A">
        <w:rPr>
          <w:rFonts w:eastAsia="Times New Roman" w:cs="Times New Roman"/>
          <w:b/>
          <w:szCs w:val="22"/>
        </w:rPr>
        <w:t xml:space="preserve"> </w:t>
      </w:r>
      <w:r w:rsidR="00BC0557">
        <w:rPr>
          <w:rFonts w:eastAsia="Times New Roman" w:cs="Times New Roman"/>
          <w:b/>
          <w:szCs w:val="22"/>
        </w:rPr>
        <w:t>Evaluation criteria</w:t>
      </w:r>
      <w:r w:rsidR="00E3189A" w:rsidRPr="00A80335">
        <w:rPr>
          <w:rFonts w:eastAsia="Times New Roman" w:cs="Times New Roman"/>
          <w:b/>
          <w:szCs w:val="22"/>
        </w:rPr>
        <w:t xml:space="preserve"> (of technical and financial offers):</w:t>
      </w:r>
    </w:p>
    <w:p w14:paraId="3AA7A942" w14:textId="77777777" w:rsidR="00E3189A" w:rsidRPr="00A80335"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We are a non-profit organization. The financial criterion is an important one for us.</w:t>
      </w:r>
    </w:p>
    <w:p w14:paraId="4D152849" w14:textId="43FFC2D6" w:rsidR="00E3189A" w:rsidRPr="00A80335"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Very good knowledge and experience in the topic of</w:t>
      </w:r>
      <w:r>
        <w:rPr>
          <w:rFonts w:eastAsia="Times New Roman" w:cs="Times New Roman"/>
          <w:szCs w:val="22"/>
        </w:rPr>
        <w:t xml:space="preserve"> biogeochemistry.</w:t>
      </w:r>
    </w:p>
    <w:p w14:paraId="772461FD" w14:textId="1C2AAE14" w:rsidR="00E3189A" w:rsidRPr="00777094"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Good command of written and spoken English</w:t>
      </w:r>
    </w:p>
    <w:p w14:paraId="49D0107C" w14:textId="77777777" w:rsidR="00E3189A" w:rsidRPr="00A80335" w:rsidRDefault="00E3189A" w:rsidP="00E3189A">
      <w:pPr>
        <w:rPr>
          <w:rFonts w:eastAsia="Times New Roman" w:cs="Times New Roman"/>
          <w:szCs w:val="22"/>
        </w:rPr>
      </w:pPr>
      <w:r w:rsidRPr="00A80335">
        <w:rPr>
          <w:rFonts w:eastAsia="Times New Roman" w:cs="Times New Roman"/>
          <w:szCs w:val="22"/>
        </w:rPr>
        <w:t>Tenderers must have the legal, technical and professional capacity to carry out the work subject to this call for tender.</w:t>
      </w:r>
    </w:p>
    <w:p w14:paraId="08F373D3" w14:textId="7AD93295" w:rsidR="00E3189A" w:rsidRPr="00A80335" w:rsidRDefault="00E3189A" w:rsidP="00523FA4">
      <w:pPr>
        <w:rPr>
          <w:rFonts w:eastAsia="Times New Roman" w:cs="Times New Roman"/>
          <w:szCs w:val="22"/>
        </w:rPr>
      </w:pPr>
      <w:r w:rsidRPr="00A80335">
        <w:rPr>
          <w:rFonts w:eastAsia="Times New Roman" w:cs="Times New Roman"/>
          <w:szCs w:val="22"/>
        </w:rPr>
        <w:t xml:space="preserve">They will present a description of the services provided and examples of written outputs to reflect its experience and English proficiency. </w:t>
      </w:r>
    </w:p>
    <w:p w14:paraId="7EAF2723" w14:textId="77777777"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Selection criteria: the service provider will be selected based on the best quality (depending on how it meets the requirements in terms of reference) / price ratio.</w:t>
      </w:r>
    </w:p>
    <w:p w14:paraId="207D607A" w14:textId="77777777" w:rsidR="00E3189A" w:rsidRDefault="00E3189A" w:rsidP="00E3189A">
      <w:pPr>
        <w:pBdr>
          <w:top w:val="nil"/>
          <w:left w:val="nil"/>
          <w:bottom w:val="nil"/>
          <w:right w:val="nil"/>
          <w:between w:val="nil"/>
        </w:pBdr>
        <w:jc w:val="both"/>
        <w:rPr>
          <w:rFonts w:eastAsia="Times New Roman" w:cs="Times New Roman"/>
          <w:szCs w:val="22"/>
        </w:rPr>
      </w:pPr>
    </w:p>
    <w:p w14:paraId="462EF708" w14:textId="41625168" w:rsidR="00E3189A" w:rsidRDefault="00E3189A" w:rsidP="00E3189A">
      <w:pPr>
        <w:pBdr>
          <w:top w:val="nil"/>
          <w:left w:val="nil"/>
          <w:bottom w:val="nil"/>
          <w:right w:val="nil"/>
          <w:between w:val="nil"/>
        </w:pBdr>
        <w:jc w:val="both"/>
        <w:rPr>
          <w:rFonts w:eastAsia="Times New Roman" w:cs="Times New Roman"/>
          <w:b/>
          <w:szCs w:val="22"/>
        </w:rPr>
      </w:pPr>
      <w:r>
        <w:rPr>
          <w:rFonts w:eastAsia="Times New Roman" w:cs="Times New Roman"/>
          <w:b/>
          <w:szCs w:val="22"/>
        </w:rPr>
        <w:t>6. D</w:t>
      </w:r>
      <w:r w:rsidR="00523FA4">
        <w:rPr>
          <w:rFonts w:eastAsia="Times New Roman" w:cs="Times New Roman"/>
          <w:b/>
          <w:szCs w:val="22"/>
        </w:rPr>
        <w:t>eadlines</w:t>
      </w:r>
    </w:p>
    <w:p w14:paraId="12C7D589" w14:textId="77777777" w:rsidR="00E3189A" w:rsidRPr="003F0494"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bookmarkStart w:id="0" w:name="_Hlk181015715"/>
      <w:r w:rsidRPr="003F0494">
        <w:rPr>
          <w:rFonts w:eastAsia="Times New Roman" w:cs="Times New Roman"/>
          <w:szCs w:val="22"/>
        </w:rPr>
        <w:t>Deadline for work plan submission:</w:t>
      </w:r>
      <w:r>
        <w:rPr>
          <w:rFonts w:eastAsia="Times New Roman" w:cs="Times New Roman"/>
          <w:szCs w:val="22"/>
        </w:rPr>
        <w:t xml:space="preserve"> 01 November 2026</w:t>
      </w:r>
    </w:p>
    <w:p w14:paraId="1757A444" w14:textId="303F2A5E" w:rsidR="00E3189A" w:rsidRPr="003F0494"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 xml:space="preserve">Deadline for submission of </w:t>
      </w:r>
      <w:r w:rsidR="002570A7">
        <w:rPr>
          <w:rFonts w:eastAsia="Times New Roman" w:cs="Times New Roman"/>
          <w:szCs w:val="22"/>
        </w:rPr>
        <w:t>the first report: 10</w:t>
      </w:r>
      <w:r w:rsidRPr="003F0494">
        <w:rPr>
          <w:rFonts w:eastAsia="Times New Roman" w:cs="Times New Roman"/>
          <w:szCs w:val="22"/>
        </w:rPr>
        <w:t xml:space="preserve"> </w:t>
      </w:r>
      <w:r>
        <w:rPr>
          <w:rFonts w:eastAsia="Times New Roman" w:cs="Times New Roman"/>
          <w:szCs w:val="22"/>
        </w:rPr>
        <w:t>December</w:t>
      </w:r>
      <w:r w:rsidRPr="003F0494">
        <w:rPr>
          <w:rFonts w:eastAsia="Times New Roman" w:cs="Times New Roman"/>
          <w:szCs w:val="22"/>
        </w:rPr>
        <w:t xml:space="preserve"> 202</w:t>
      </w:r>
      <w:r>
        <w:rPr>
          <w:rFonts w:eastAsia="Times New Roman" w:cs="Times New Roman"/>
          <w:szCs w:val="22"/>
        </w:rPr>
        <w:t xml:space="preserve">7 </w:t>
      </w:r>
    </w:p>
    <w:p w14:paraId="184580B9" w14:textId="5B6EE7FB" w:rsidR="00E3189A" w:rsidRPr="003F0494"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 xml:space="preserve">Deadline for submission of the </w:t>
      </w:r>
      <w:r>
        <w:rPr>
          <w:rFonts w:eastAsia="Times New Roman" w:cs="Times New Roman"/>
          <w:szCs w:val="22"/>
        </w:rPr>
        <w:t>F</w:t>
      </w:r>
      <w:r w:rsidRPr="003F0494">
        <w:rPr>
          <w:rFonts w:eastAsia="Times New Roman" w:cs="Times New Roman"/>
          <w:szCs w:val="22"/>
        </w:rPr>
        <w:t>inal report:</w:t>
      </w:r>
      <w:r>
        <w:rPr>
          <w:rFonts w:eastAsia="Times New Roman" w:cs="Times New Roman"/>
          <w:szCs w:val="22"/>
        </w:rPr>
        <w:t xml:space="preserve"> 15</w:t>
      </w:r>
      <w:r w:rsidRPr="003F0494">
        <w:rPr>
          <w:rFonts w:eastAsia="Times New Roman" w:cs="Times New Roman"/>
          <w:szCs w:val="22"/>
        </w:rPr>
        <w:t xml:space="preserve"> </w:t>
      </w:r>
      <w:r>
        <w:rPr>
          <w:rFonts w:eastAsia="Times New Roman" w:cs="Times New Roman"/>
          <w:szCs w:val="22"/>
        </w:rPr>
        <w:t>February</w:t>
      </w:r>
      <w:r w:rsidRPr="003F0494">
        <w:rPr>
          <w:rFonts w:eastAsia="Times New Roman" w:cs="Times New Roman"/>
          <w:szCs w:val="22"/>
        </w:rPr>
        <w:t xml:space="preserve"> 202</w:t>
      </w:r>
      <w:r>
        <w:rPr>
          <w:rFonts w:eastAsia="Times New Roman" w:cs="Times New Roman"/>
          <w:szCs w:val="22"/>
        </w:rPr>
        <w:t>7</w:t>
      </w:r>
      <w:r w:rsidRPr="003F0494">
        <w:rPr>
          <w:rFonts w:eastAsia="Times New Roman" w:cs="Times New Roman"/>
          <w:szCs w:val="22"/>
        </w:rPr>
        <w:t xml:space="preserve"> </w:t>
      </w:r>
    </w:p>
    <w:bookmarkEnd w:id="0"/>
    <w:p w14:paraId="3D67FFA4" w14:textId="102319D4" w:rsidR="00E3189A" w:rsidRPr="003F0494"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Contract duration:</w:t>
      </w:r>
      <w:r>
        <w:rPr>
          <w:rFonts w:eastAsia="Times New Roman" w:cs="Times New Roman"/>
          <w:szCs w:val="22"/>
        </w:rPr>
        <w:t xml:space="preserve"> 4</w:t>
      </w:r>
      <w:r w:rsidRPr="003F0494">
        <w:rPr>
          <w:rFonts w:eastAsia="Times New Roman" w:cs="Times New Roman"/>
          <w:szCs w:val="22"/>
        </w:rPr>
        <w:t xml:space="preserve"> months (</w:t>
      </w:r>
      <w:r>
        <w:rPr>
          <w:rFonts w:eastAsia="Times New Roman" w:cs="Times New Roman"/>
          <w:szCs w:val="22"/>
        </w:rPr>
        <w:t>November 2026 to February 2027</w:t>
      </w:r>
      <w:r w:rsidRPr="003F0494">
        <w:rPr>
          <w:rFonts w:eastAsia="Times New Roman" w:cs="Times New Roman"/>
          <w:szCs w:val="22"/>
        </w:rPr>
        <w:t>)</w:t>
      </w:r>
    </w:p>
    <w:p w14:paraId="59C70686" w14:textId="77777777"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Start date: date of signing the contract</w:t>
      </w:r>
    </w:p>
    <w:p w14:paraId="43523B9D" w14:textId="77777777"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p>
    <w:p w14:paraId="74BBCAEC" w14:textId="7130C27C" w:rsidR="00E3189A" w:rsidRPr="00E96231"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7. C</w:t>
      </w:r>
      <w:r w:rsidR="00C61B4E">
        <w:rPr>
          <w:rFonts w:eastAsia="Times New Roman" w:cs="Times New Roman"/>
          <w:b/>
          <w:szCs w:val="22"/>
        </w:rPr>
        <w:t>onfidentiality and copyright</w:t>
      </w:r>
    </w:p>
    <w:p w14:paraId="29B43C7D" w14:textId="060C8E13"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All proprietary or private information obtained by Consultant from WWF Romania and third parties, including LIFE with Bison project partners, will not be disclosed or used for any purpose other than the activities of these Terms of Reference.</w:t>
      </w:r>
    </w:p>
    <w:p w14:paraId="02815E2E" w14:textId="77777777"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The rights to the entire content, including the report, are reserved and will be treated in accordance with the rules and requirements of the LIFE with Bison project.</w:t>
      </w:r>
    </w:p>
    <w:p w14:paraId="3806CB3A" w14:textId="77777777" w:rsidR="00E3189A" w:rsidRDefault="00E3189A" w:rsidP="00E3189A">
      <w:pPr>
        <w:pBdr>
          <w:top w:val="nil"/>
          <w:left w:val="nil"/>
          <w:bottom w:val="nil"/>
          <w:right w:val="nil"/>
          <w:between w:val="nil"/>
        </w:pBdr>
        <w:jc w:val="both"/>
        <w:rPr>
          <w:rFonts w:eastAsia="Times New Roman" w:cs="Times New Roman"/>
          <w:szCs w:val="22"/>
        </w:rPr>
      </w:pPr>
    </w:p>
    <w:p w14:paraId="1735608B" w14:textId="129B58A9" w:rsidR="00E3189A" w:rsidRPr="00E96231" w:rsidRDefault="00E3189A" w:rsidP="00E3189A">
      <w:pPr>
        <w:pBdr>
          <w:top w:val="nil"/>
          <w:left w:val="nil"/>
          <w:bottom w:val="nil"/>
          <w:right w:val="nil"/>
          <w:between w:val="nil"/>
        </w:pBdr>
        <w:jc w:val="both"/>
        <w:rPr>
          <w:rFonts w:eastAsia="Times New Roman" w:cs="Times New Roman"/>
          <w:b/>
          <w:szCs w:val="22"/>
          <w:highlight w:val="yellow"/>
        </w:rPr>
      </w:pPr>
      <w:r>
        <w:rPr>
          <w:rFonts w:eastAsia="Times New Roman" w:cs="Times New Roman"/>
          <w:b/>
          <w:szCs w:val="22"/>
        </w:rPr>
        <w:t xml:space="preserve">8. </w:t>
      </w:r>
      <w:r w:rsidRPr="00A80335">
        <w:rPr>
          <w:rFonts w:eastAsia="Times New Roman" w:cs="Times New Roman"/>
          <w:b/>
          <w:szCs w:val="22"/>
        </w:rPr>
        <w:t>B</w:t>
      </w:r>
      <w:r w:rsidR="00E96231">
        <w:rPr>
          <w:rFonts w:eastAsia="Times New Roman" w:cs="Times New Roman"/>
          <w:b/>
          <w:szCs w:val="22"/>
        </w:rPr>
        <w:t>udget</w:t>
      </w:r>
    </w:p>
    <w:p w14:paraId="321E4286" w14:textId="37442D89" w:rsid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highlight w:val="yellow"/>
        </w:rPr>
      </w:pPr>
      <w:r w:rsidRPr="00A80335">
        <w:rPr>
          <w:rFonts w:eastAsia="Times New Roman" w:cs="Times New Roman"/>
          <w:szCs w:val="22"/>
        </w:rPr>
        <w:t xml:space="preserve">The maximum budget available according to the project: for this service </w:t>
      </w:r>
      <w:r w:rsidRPr="003F0494">
        <w:rPr>
          <w:rFonts w:eastAsia="Times New Roman" w:cs="Times New Roman"/>
          <w:szCs w:val="22"/>
        </w:rPr>
        <w:t xml:space="preserve">is </w:t>
      </w:r>
      <w:r>
        <w:rPr>
          <w:rFonts w:eastAsia="Times New Roman" w:cs="Times New Roman"/>
          <w:szCs w:val="22"/>
        </w:rPr>
        <w:t>10</w:t>
      </w:r>
      <w:r w:rsidRPr="003F0494">
        <w:rPr>
          <w:rFonts w:eastAsia="Times New Roman" w:cs="Times New Roman"/>
          <w:szCs w:val="22"/>
        </w:rPr>
        <w:t>.000 EUR (VAT and all taxes included).</w:t>
      </w:r>
    </w:p>
    <w:p w14:paraId="2FF3DFAC" w14:textId="569005D9" w:rsidR="0032155E" w:rsidRPr="00E3189A" w:rsidRDefault="00E3189A" w:rsidP="00E3189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xml:space="preserve">Please send your offer (technical and financial) as well as any requests for clarification / details </w:t>
      </w:r>
      <w:r w:rsidRPr="003F0494">
        <w:rPr>
          <w:rFonts w:eastAsia="Times New Roman" w:cs="Times New Roman"/>
          <w:szCs w:val="22"/>
        </w:rPr>
        <w:t xml:space="preserve">by  </w:t>
      </w:r>
      <w:r>
        <w:rPr>
          <w:rFonts w:eastAsia="Times New Roman" w:cs="Times New Roman"/>
          <w:szCs w:val="22"/>
        </w:rPr>
        <w:t>1</w:t>
      </w:r>
      <w:r w:rsidRPr="007C024D">
        <w:rPr>
          <w:rFonts w:eastAsia="Times New Roman" w:cs="Times New Roman"/>
          <w:szCs w:val="22"/>
          <w:vertAlign w:val="superscript"/>
        </w:rPr>
        <w:t>st</w:t>
      </w:r>
      <w:r>
        <w:rPr>
          <w:rFonts w:eastAsia="Times New Roman" w:cs="Times New Roman"/>
          <w:szCs w:val="22"/>
        </w:rPr>
        <w:t xml:space="preserve"> </w:t>
      </w:r>
      <w:r w:rsidRPr="003F0494">
        <w:rPr>
          <w:rFonts w:eastAsia="Times New Roman" w:cs="Times New Roman"/>
          <w:szCs w:val="22"/>
        </w:rPr>
        <w:t xml:space="preserve">of </w:t>
      </w:r>
      <w:r>
        <w:rPr>
          <w:rFonts w:eastAsia="Times New Roman" w:cs="Times New Roman"/>
          <w:szCs w:val="22"/>
        </w:rPr>
        <w:t>November</w:t>
      </w:r>
      <w:r w:rsidRPr="003F0494">
        <w:rPr>
          <w:rFonts w:eastAsia="Times New Roman" w:cs="Times New Roman"/>
          <w:szCs w:val="22"/>
        </w:rPr>
        <w:t xml:space="preserve"> 202</w:t>
      </w:r>
      <w:r>
        <w:rPr>
          <w:rFonts w:eastAsia="Times New Roman" w:cs="Times New Roman"/>
          <w:szCs w:val="22"/>
        </w:rPr>
        <w:t>6</w:t>
      </w:r>
      <w:r w:rsidRPr="003F0494">
        <w:rPr>
          <w:rFonts w:eastAsia="Times New Roman" w:cs="Times New Roman"/>
          <w:szCs w:val="22"/>
        </w:rPr>
        <w:t xml:space="preserve">, at 17:00 either </w:t>
      </w:r>
      <w:r w:rsidRPr="00A80335">
        <w:rPr>
          <w:rFonts w:eastAsia="Times New Roman" w:cs="Times New Roman"/>
          <w:szCs w:val="22"/>
        </w:rPr>
        <w:t xml:space="preserve">by email to </w:t>
      </w:r>
      <w:hyperlink r:id="rId9" w:history="1">
        <w:r w:rsidRPr="00A80335">
          <w:rPr>
            <w:rStyle w:val="Hyperlink"/>
            <w:rFonts w:eastAsia="Times New Roman" w:cs="Times New Roman"/>
            <w:szCs w:val="22"/>
          </w:rPr>
          <w:t>agrancea@wwf.ro</w:t>
        </w:r>
      </w:hyperlink>
      <w:r w:rsidRPr="00A80335">
        <w:rPr>
          <w:rFonts w:eastAsia="Times New Roman" w:cs="Times New Roman"/>
          <w:szCs w:val="22"/>
        </w:rPr>
        <w:t xml:space="preserve"> and </w:t>
      </w:r>
      <w:hyperlink r:id="rId10" w:history="1">
        <w:r w:rsidRPr="00A80335">
          <w:rPr>
            <w:rStyle w:val="Hyperlink"/>
            <w:rFonts w:eastAsia="Times New Roman" w:cs="Times New Roman"/>
            <w:szCs w:val="22"/>
          </w:rPr>
          <w:t>grete</w:t>
        </w:r>
        <w:r w:rsidRPr="00A80335">
          <w:rPr>
            <w:rStyle w:val="Hyperlink"/>
            <w:rFonts w:eastAsia="Times New Roman" w:cs="Times New Roman"/>
            <w:b/>
            <w:szCs w:val="22"/>
          </w:rPr>
          <w:t>z</w:t>
        </w:r>
        <w:r w:rsidRPr="00A80335">
          <w:rPr>
            <w:rStyle w:val="Hyperlink"/>
            <w:rFonts w:eastAsia="Times New Roman" w:cs="Times New Roman"/>
            <w:szCs w:val="22"/>
          </w:rPr>
          <w:t>@wwf.ro</w:t>
        </w:r>
      </w:hyperlink>
      <w:r w:rsidRPr="00A80335">
        <w:rPr>
          <w:rFonts w:eastAsia="Times New Roman" w:cs="Times New Roman"/>
          <w:szCs w:val="22"/>
        </w:rPr>
        <w:t xml:space="preserve"> , or by regular mail to WWF Romania Association, to the attention of: Adrian Grancea</w:t>
      </w:r>
    </w:p>
    <w:sectPr w:rsidR="0032155E" w:rsidRPr="00E3189A">
      <w:headerReference w:type="default" r:id="rId11"/>
      <w:footerReference w:type="default" r:id="rId12"/>
      <w:pgSz w:w="11900" w:h="16840"/>
      <w:pgMar w:top="1417" w:right="1701" w:bottom="1417" w:left="1701" w:header="303" w:footer="2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4765" w14:textId="77777777" w:rsidR="00616BEC" w:rsidRDefault="00616BEC">
      <w:r>
        <w:separator/>
      </w:r>
    </w:p>
  </w:endnote>
  <w:endnote w:type="continuationSeparator" w:id="0">
    <w:p w14:paraId="024A2849" w14:textId="77777777" w:rsidR="00616BEC" w:rsidRDefault="0061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6D1E" w14:textId="77777777" w:rsidR="0032155E" w:rsidRDefault="00000000">
    <w:pPr>
      <w:spacing w:after="0"/>
      <w:jc w:val="center"/>
    </w:pPr>
    <w:r>
      <w:rPr>
        <w:noProof/>
      </w:rPr>
      <w:drawing>
        <wp:inline distT="0" distB="0" distL="0" distR="0" wp14:anchorId="030A8543" wp14:editId="45A71064">
          <wp:extent cx="5396788" cy="264693"/>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6788" cy="2646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5EC34" w14:textId="77777777" w:rsidR="00616BEC" w:rsidRDefault="00616BEC">
      <w:r>
        <w:separator/>
      </w:r>
    </w:p>
  </w:footnote>
  <w:footnote w:type="continuationSeparator" w:id="0">
    <w:p w14:paraId="41EC5620" w14:textId="77777777" w:rsidR="00616BEC" w:rsidRDefault="00616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106E" w14:textId="77777777" w:rsidR="0032155E" w:rsidRDefault="00000000">
    <w:pPr>
      <w:spacing w:after="0"/>
      <w:jc w:val="center"/>
    </w:pPr>
    <w:r>
      <w:rPr>
        <w:noProof/>
      </w:rPr>
      <w:drawing>
        <wp:inline distT="0" distB="0" distL="0" distR="0" wp14:anchorId="4BE1FF9B" wp14:editId="3817C5C2">
          <wp:extent cx="5399532" cy="543056"/>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9532" cy="543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F73D9"/>
    <w:multiLevelType w:val="multilevel"/>
    <w:tmpl w:val="4B38FEB8"/>
    <w:lvl w:ilvl="0">
      <w:start w:val="1"/>
      <w:numFmt w:val="bullet"/>
      <w:pStyle w:val="ListBullet1"/>
      <w:lvlText w:val="•"/>
      <w:lvlJc w:val="left"/>
      <w:pPr>
        <w:ind w:left="240"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FF01053"/>
    <w:multiLevelType w:val="multilevel"/>
    <w:tmpl w:val="ED5EC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E22A87"/>
    <w:multiLevelType w:val="hybridMultilevel"/>
    <w:tmpl w:val="74569DF6"/>
    <w:lvl w:ilvl="0" w:tplc="C402348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D5842"/>
    <w:multiLevelType w:val="multilevel"/>
    <w:tmpl w:val="64CA2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7E64D1"/>
    <w:multiLevelType w:val="multilevel"/>
    <w:tmpl w:val="CAE89C42"/>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7874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16"/>
    <w:rsid w:val="00047723"/>
    <w:rsid w:val="000608B0"/>
    <w:rsid w:val="002022EF"/>
    <w:rsid w:val="0024145B"/>
    <w:rsid w:val="002570A7"/>
    <w:rsid w:val="00257AC0"/>
    <w:rsid w:val="00264FB4"/>
    <w:rsid w:val="0032155E"/>
    <w:rsid w:val="003F0494"/>
    <w:rsid w:val="00470887"/>
    <w:rsid w:val="00475A5A"/>
    <w:rsid w:val="00523FA4"/>
    <w:rsid w:val="005441ED"/>
    <w:rsid w:val="0057050F"/>
    <w:rsid w:val="00616BEC"/>
    <w:rsid w:val="006F750F"/>
    <w:rsid w:val="007479B3"/>
    <w:rsid w:val="00762460"/>
    <w:rsid w:val="00777094"/>
    <w:rsid w:val="007E5FC0"/>
    <w:rsid w:val="008B1455"/>
    <w:rsid w:val="008C0FB5"/>
    <w:rsid w:val="00996191"/>
    <w:rsid w:val="009B5F1B"/>
    <w:rsid w:val="00A70588"/>
    <w:rsid w:val="00A80335"/>
    <w:rsid w:val="00AA0FF9"/>
    <w:rsid w:val="00B04BB8"/>
    <w:rsid w:val="00BC0557"/>
    <w:rsid w:val="00C61B4E"/>
    <w:rsid w:val="00C90A01"/>
    <w:rsid w:val="00DE4C4F"/>
    <w:rsid w:val="00E3189A"/>
    <w:rsid w:val="00E42683"/>
    <w:rsid w:val="00E96231"/>
    <w:rsid w:val="00EE0401"/>
    <w:rsid w:val="00F1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2582"/>
  <w15:docId w15:val="{8A484E93-5145-43B9-AD13-1CD17CEB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94"/>
    <w:pPr>
      <w:spacing w:after="80"/>
    </w:pPr>
    <w:rPr>
      <w:rFonts w:ascii="Times New Roman" w:hAnsi="Times New Roman"/>
      <w:color w:val="000000"/>
      <w:sz w:val="22"/>
    </w:rPr>
  </w:style>
  <w:style w:type="paragraph" w:styleId="Heading1">
    <w:name w:val="heading 1"/>
    <w:basedOn w:val="Normal"/>
    <w:next w:val="Normal"/>
    <w:uiPriority w:val="9"/>
    <w:qFormat/>
    <w:pPr>
      <w:keepNext/>
      <w:keepLines/>
      <w:spacing w:before="160" w:line="252" w:lineRule="auto"/>
      <w:outlineLvl w:val="0"/>
    </w:pPr>
    <w:rPr>
      <w:b/>
      <w:szCs w:val="48"/>
    </w:rPr>
  </w:style>
  <w:style w:type="paragraph" w:styleId="Heading2">
    <w:name w:val="heading 2"/>
    <w:basedOn w:val="Normal"/>
    <w:next w:val="Normal"/>
    <w:uiPriority w:val="9"/>
    <w:semiHidden/>
    <w:unhideWhenUsed/>
    <w:qFormat/>
    <w:pPr>
      <w:keepNext/>
      <w:keepLines/>
      <w:spacing w:before="160" w:line="252" w:lineRule="auto"/>
      <w:outlineLvl w:val="1"/>
    </w:pPr>
    <w:rPr>
      <w:b/>
      <w:szCs w:val="36"/>
    </w:rPr>
  </w:style>
  <w:style w:type="paragraph" w:styleId="Heading3">
    <w:name w:val="heading 3"/>
    <w:basedOn w:val="Normal"/>
    <w:next w:val="Normal"/>
    <w:uiPriority w:val="9"/>
    <w:semiHidden/>
    <w:unhideWhenUsed/>
    <w:qFormat/>
    <w:pPr>
      <w:keepNext/>
      <w:keepLines/>
      <w:spacing w:before="200" w:after="100" w:line="252" w:lineRule="auto"/>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00" w:line="252" w:lineRule="auto"/>
    </w:pPr>
    <w:rPr>
      <w:b/>
      <w:sz w:val="28"/>
      <w:szCs w:val="72"/>
    </w:rPr>
  </w:style>
  <w:style w:type="paragraph" w:styleId="Header">
    <w:name w:val="header"/>
    <w:basedOn w:val="Normal"/>
    <w:link w:val="HeaderChar"/>
    <w:uiPriority w:val="99"/>
    <w:unhideWhenUsed/>
    <w:rsid w:val="008C12CC"/>
    <w:pPr>
      <w:tabs>
        <w:tab w:val="center" w:pos="4419"/>
        <w:tab w:val="right" w:pos="8838"/>
      </w:tabs>
    </w:pPr>
  </w:style>
  <w:style w:type="character" w:customStyle="1" w:styleId="HeaderChar">
    <w:name w:val="Header Char"/>
    <w:basedOn w:val="DefaultParagraphFont"/>
    <w:link w:val="Header"/>
    <w:uiPriority w:val="99"/>
    <w:rsid w:val="008C12CC"/>
  </w:style>
  <w:style w:type="paragraph" w:styleId="Footer">
    <w:name w:val="footer"/>
    <w:basedOn w:val="Normal"/>
    <w:link w:val="FooterChar"/>
    <w:uiPriority w:val="99"/>
    <w:unhideWhenUsed/>
    <w:rsid w:val="008C12CC"/>
    <w:pPr>
      <w:tabs>
        <w:tab w:val="center" w:pos="4419"/>
        <w:tab w:val="right" w:pos="8838"/>
      </w:tabs>
    </w:pPr>
  </w:style>
  <w:style w:type="character" w:customStyle="1" w:styleId="FooterChar">
    <w:name w:val="Footer Char"/>
    <w:basedOn w:val="DefaultParagraphFont"/>
    <w:link w:val="Footer"/>
    <w:uiPriority w:val="99"/>
    <w:rsid w:val="008C12CC"/>
  </w:style>
  <w:style w:type="character" w:styleId="Hyperlink">
    <w:name w:val="Hyperlink"/>
    <w:basedOn w:val="DefaultParagraphFont"/>
    <w:uiPriority w:val="99"/>
    <w:unhideWhenUsed/>
    <w:rsid w:val="00DF2FEE"/>
    <w:rPr>
      <w:color w:val="0563C1" w:themeColor="hyperlink"/>
      <w:u w:val="single"/>
    </w:rPr>
  </w:style>
  <w:style w:type="paragraph" w:styleId="HTMLPreformatted">
    <w:name w:val="HTML Preformatted"/>
    <w:basedOn w:val="Normal"/>
    <w:link w:val="HTMLPreformattedChar"/>
    <w:uiPriority w:val="99"/>
    <w:unhideWhenUsed/>
    <w:rsid w:val="0040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0A60"/>
    <w:rPr>
      <w:rFonts w:ascii="Courier New" w:eastAsia="Times New Roman" w:hAnsi="Courier New" w:cs="Courier New"/>
      <w:sz w:val="20"/>
      <w:szCs w:val="20"/>
      <w:lang w:eastAsia="en-GB"/>
    </w:rPr>
  </w:style>
  <w:style w:type="character" w:customStyle="1" w:styleId="y2iqfc">
    <w:name w:val="y2iqfc"/>
    <w:basedOn w:val="DefaultParagraphFont"/>
    <w:rsid w:val="00400A60"/>
  </w:style>
  <w:style w:type="paragraph" w:styleId="ListParagraph">
    <w:name w:val="List Paragraph"/>
    <w:basedOn w:val="Normal"/>
    <w:uiPriority w:val="34"/>
    <w:qFormat/>
    <w:rsid w:val="00F6379C"/>
    <w:pPr>
      <w:ind w:left="720"/>
      <w:contextualSpacing/>
    </w:pPr>
  </w:style>
  <w:style w:type="character" w:styleId="CommentReference">
    <w:name w:val="annotation reference"/>
    <w:basedOn w:val="DefaultParagraphFont"/>
    <w:uiPriority w:val="99"/>
    <w:semiHidden/>
    <w:unhideWhenUsed/>
    <w:rsid w:val="00EE0A88"/>
    <w:rPr>
      <w:sz w:val="16"/>
      <w:szCs w:val="16"/>
    </w:rPr>
  </w:style>
  <w:style w:type="paragraph" w:styleId="CommentText">
    <w:name w:val="annotation text"/>
    <w:basedOn w:val="Normal"/>
    <w:link w:val="CommentTextChar"/>
    <w:uiPriority w:val="99"/>
    <w:semiHidden/>
    <w:unhideWhenUsed/>
    <w:rsid w:val="00EE0A88"/>
    <w:rPr>
      <w:sz w:val="20"/>
      <w:szCs w:val="20"/>
    </w:rPr>
  </w:style>
  <w:style w:type="character" w:customStyle="1" w:styleId="CommentTextChar">
    <w:name w:val="Comment Text Char"/>
    <w:basedOn w:val="DefaultParagraphFont"/>
    <w:link w:val="CommentText"/>
    <w:uiPriority w:val="99"/>
    <w:semiHidden/>
    <w:rsid w:val="00EE0A88"/>
    <w:rPr>
      <w:sz w:val="20"/>
      <w:szCs w:val="20"/>
    </w:rPr>
  </w:style>
  <w:style w:type="paragraph" w:styleId="CommentSubject">
    <w:name w:val="annotation subject"/>
    <w:basedOn w:val="CommentText"/>
    <w:next w:val="CommentText"/>
    <w:link w:val="CommentSubjectChar"/>
    <w:uiPriority w:val="99"/>
    <w:semiHidden/>
    <w:unhideWhenUsed/>
    <w:rsid w:val="00EE0A88"/>
    <w:rPr>
      <w:b/>
      <w:bCs/>
    </w:rPr>
  </w:style>
  <w:style w:type="character" w:customStyle="1" w:styleId="CommentSubjectChar">
    <w:name w:val="Comment Subject Char"/>
    <w:basedOn w:val="CommentTextChar"/>
    <w:link w:val="CommentSubject"/>
    <w:uiPriority w:val="99"/>
    <w:semiHidden/>
    <w:rsid w:val="00EE0A88"/>
    <w:rPr>
      <w:b/>
      <w:bCs/>
      <w:sz w:val="20"/>
      <w:szCs w:val="20"/>
    </w:rPr>
  </w:style>
  <w:style w:type="paragraph" w:styleId="Subtitle">
    <w:name w:val="Subtitle"/>
    <w:basedOn w:val="Normal"/>
    <w:next w:val="Normal"/>
    <w:pPr>
      <w:keepNext/>
      <w:keepLines/>
      <w:spacing w:before="36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80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335"/>
    <w:rPr>
      <w:rFonts w:ascii="Segoe UI" w:hAnsi="Segoe UI" w:cs="Segoe UI"/>
      <w:sz w:val="18"/>
      <w:szCs w:val="18"/>
    </w:rPr>
  </w:style>
  <w:style w:type="paragraph" w:customStyle="1" w:styleId="ListBullet1">
    <w:name w:val="List Bullet1"/>
    <w:basedOn w:val="Normal"/>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retez@wwf.ro" TargetMode="External"/><Relationship Id="rId4" Type="http://schemas.openxmlformats.org/officeDocument/2006/relationships/styles" Target="styles.xml"/><Relationship Id="rId9" Type="http://schemas.openxmlformats.org/officeDocument/2006/relationships/hyperlink" Target="mailto:agrancea@wwf.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mJ9XFeLm9V/rzOQAhGKXmNKWQ==">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51AD39-0D22-43FE-BCB0-3182A943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1398</Words>
  <Characters>7971</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and nitrogen analysis of soil and European bison faecal samples</dc:title>
  <dc:subject>LIFE with Bison sampling support and laboratory analysis of sample-specific total carbon and total nitrogen</dc:subject>
  <dc:creator>ANA SERRANO GONZALEZ</dc:creator>
  <cp:lastModifiedBy>Adrian Grancea</cp:lastModifiedBy>
  <cp:revision>18</cp:revision>
  <dcterms:created xsi:type="dcterms:W3CDTF">2024-10-24T06:48:00Z</dcterms:created>
  <dcterms:modified xsi:type="dcterms:W3CDTF">2026-10-09T08:41:00Z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599ac714-4a5c-468f-9e9f-cc371fe18238</vt:lpwstr>
  </property>
</Properties>
</file>